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F03" w:rsidRPr="008004C5" w:rsidRDefault="00535629" w:rsidP="00535629">
      <w:pPr>
        <w:jc w:val="center"/>
        <w:rPr>
          <w:rFonts w:ascii="Century Gothic" w:hAnsi="Century Gothic"/>
          <w:b/>
        </w:rPr>
      </w:pPr>
      <w:r w:rsidRPr="008004C5">
        <w:rPr>
          <w:rFonts w:ascii="Century Gothic" w:hAnsi="Century Gothic"/>
          <w:b/>
        </w:rPr>
        <w:t>MODELE DE DELIBERATION</w:t>
      </w:r>
    </w:p>
    <w:p w:rsidR="00535629" w:rsidRPr="008004C5" w:rsidRDefault="004F5D4A" w:rsidP="00535629">
      <w:pPr>
        <w:jc w:val="center"/>
        <w:rPr>
          <w:rFonts w:ascii="Century Gothic" w:hAnsi="Century Gothic"/>
          <w:b/>
        </w:rPr>
      </w:pPr>
      <w:r w:rsidRPr="008004C5">
        <w:rPr>
          <w:rFonts w:ascii="Century Gothic" w:hAnsi="Century Gothic"/>
          <w:b/>
        </w:rPr>
        <w:t>ADHESION A UN</w:t>
      </w:r>
      <w:r w:rsidR="00535629" w:rsidRPr="008004C5">
        <w:rPr>
          <w:rFonts w:ascii="Century Gothic" w:hAnsi="Century Gothic"/>
          <w:b/>
        </w:rPr>
        <w:t xml:space="preserve"> GROUPEMENT DE COMMANDES</w:t>
      </w:r>
    </w:p>
    <w:p w:rsidR="00535629" w:rsidRPr="008004C5" w:rsidRDefault="00535629">
      <w:pPr>
        <w:rPr>
          <w:rFonts w:ascii="Century Gothic" w:hAnsi="Century Gothic"/>
        </w:rPr>
      </w:pPr>
    </w:p>
    <w:p w:rsidR="00535629" w:rsidRPr="008004C5" w:rsidRDefault="00535629" w:rsidP="00BC2883">
      <w:pPr>
        <w:jc w:val="both"/>
        <w:rPr>
          <w:rFonts w:ascii="Century Gothic" w:hAnsi="Century Gothic"/>
        </w:rPr>
      </w:pPr>
    </w:p>
    <w:p w:rsidR="00535629" w:rsidRPr="008004C5" w:rsidRDefault="00535629" w:rsidP="00BC2883">
      <w:pPr>
        <w:jc w:val="both"/>
        <w:rPr>
          <w:rFonts w:ascii="Century Gothic" w:hAnsi="Century Gothic"/>
          <w:u w:val="single"/>
        </w:rPr>
      </w:pPr>
      <w:r w:rsidRPr="008004C5">
        <w:rPr>
          <w:rFonts w:ascii="Century Gothic" w:hAnsi="Century Gothic"/>
          <w:u w:val="single"/>
        </w:rPr>
        <w:t>Exposé des motifs</w:t>
      </w:r>
      <w:r w:rsidRPr="008004C5">
        <w:rPr>
          <w:rFonts w:ascii="Century Gothic" w:hAnsi="Century Gothic"/>
        </w:rPr>
        <w:t> :</w:t>
      </w:r>
    </w:p>
    <w:p w:rsidR="00535629" w:rsidRPr="008004C5" w:rsidRDefault="00535629" w:rsidP="00BC2883">
      <w:pPr>
        <w:pStyle w:val="Pa4"/>
        <w:spacing w:after="140"/>
        <w:jc w:val="both"/>
        <w:rPr>
          <w:rFonts w:ascii="Century Gothic" w:hAnsi="Century Gothic" w:cs="HelveticaNeueLT Std"/>
          <w:color w:val="000000"/>
          <w:sz w:val="22"/>
          <w:szCs w:val="22"/>
        </w:rPr>
      </w:pPr>
      <w:r w:rsidRPr="008004C5">
        <w:rPr>
          <w:rFonts w:ascii="Century Gothic" w:hAnsi="Century Gothic" w:cs="HelveticaNeueLT Std"/>
          <w:color w:val="000000"/>
          <w:sz w:val="22"/>
          <w:szCs w:val="22"/>
        </w:rPr>
        <w:t>Depuis le 1</w:t>
      </w:r>
      <w:r w:rsidRPr="008004C5">
        <w:rPr>
          <w:rStyle w:val="A6"/>
          <w:rFonts w:ascii="Century Gothic" w:hAnsi="Century Gothic"/>
          <w:sz w:val="22"/>
          <w:szCs w:val="22"/>
        </w:rPr>
        <w:t xml:space="preserve">er </w:t>
      </w:r>
      <w:r w:rsidRPr="008004C5">
        <w:rPr>
          <w:rFonts w:ascii="Century Gothic" w:hAnsi="Century Gothic" w:cs="HelveticaNeueLT Std"/>
          <w:color w:val="000000"/>
          <w:sz w:val="22"/>
          <w:szCs w:val="22"/>
        </w:rPr>
        <w:t>juillet 2004, le marché du gaz naturel est ouvert à la concurrence. Depuis le 1</w:t>
      </w:r>
      <w:r w:rsidRPr="008004C5">
        <w:rPr>
          <w:rFonts w:ascii="Century Gothic" w:hAnsi="Century Gothic" w:cs="HelveticaNeueLT Std"/>
          <w:color w:val="000000"/>
          <w:sz w:val="22"/>
          <w:szCs w:val="22"/>
          <w:vertAlign w:val="superscript"/>
        </w:rPr>
        <w:t>er</w:t>
      </w:r>
      <w:r w:rsidRPr="008004C5">
        <w:rPr>
          <w:rFonts w:ascii="Century Gothic" w:hAnsi="Century Gothic" w:cs="HelveticaNeueLT Std"/>
          <w:color w:val="000000"/>
          <w:sz w:val="22"/>
          <w:szCs w:val="22"/>
        </w:rPr>
        <w:t xml:space="preserve"> juillet 2007, l’ouverture à la concurrence concerne l’ensemble des consommateurs, particuliers comme professionnels. Aujourd’hui, conformément à l’article L. 441-1 du Code de l’énergie, l’ensemble des consommateurs de gaz naturel peut choisir un fournisseur sur le marché et s’affranchir ainsi du tarif réglementé de vente proposé par les opérateurs historiques. </w:t>
      </w:r>
    </w:p>
    <w:p w:rsidR="00535629" w:rsidRPr="008004C5" w:rsidRDefault="00535629" w:rsidP="00BC2883">
      <w:pPr>
        <w:spacing w:after="0" w:line="240" w:lineRule="auto"/>
        <w:jc w:val="both"/>
        <w:rPr>
          <w:rFonts w:ascii="Century Gothic" w:hAnsi="Century Gothic"/>
        </w:rPr>
      </w:pPr>
      <w:r w:rsidRPr="008004C5">
        <w:rPr>
          <w:rFonts w:ascii="Century Gothic" w:eastAsia="Times New Roman" w:hAnsi="Century Gothic" w:cstheme="minorHAnsi"/>
          <w:lang w:eastAsia="fr-FR"/>
        </w:rPr>
        <w:t>Cette ouverture à la concurrence se poursuit avec la disparition progressive des</w:t>
      </w:r>
      <w:r w:rsidRPr="008004C5">
        <w:rPr>
          <w:rFonts w:ascii="Century Gothic" w:eastAsia="Times New Roman" w:hAnsi="Century Gothic" w:cstheme="minorHAnsi"/>
          <w:b/>
          <w:lang w:eastAsia="fr-FR"/>
        </w:rPr>
        <w:t xml:space="preserve"> </w:t>
      </w:r>
      <w:r w:rsidRPr="008004C5">
        <w:rPr>
          <w:rFonts w:ascii="Century Gothic" w:eastAsia="Times New Roman" w:hAnsi="Century Gothic" w:cstheme="minorHAnsi"/>
          <w:lang w:eastAsia="fr-FR"/>
        </w:rPr>
        <w:t xml:space="preserve">tarifs </w:t>
      </w:r>
      <w:r w:rsidRPr="008004C5">
        <w:rPr>
          <w:rFonts w:ascii="Century Gothic" w:hAnsi="Century Gothic"/>
        </w:rPr>
        <w:t>réglementés de vente (TRV) de gaz naturel prévue par la</w:t>
      </w:r>
      <w:r w:rsidRPr="008004C5">
        <w:rPr>
          <w:rFonts w:ascii="Century Gothic" w:eastAsia="Times New Roman" w:hAnsi="Century Gothic" w:cstheme="minorHAnsi"/>
          <w:lang w:eastAsia="fr-FR"/>
        </w:rPr>
        <w:t xml:space="preserve"> Loi </w:t>
      </w:r>
      <w:r w:rsidR="00C4449E" w:rsidRPr="008004C5">
        <w:rPr>
          <w:rFonts w:ascii="Century Gothic" w:eastAsia="Times New Roman" w:hAnsi="Century Gothic" w:cstheme="minorHAnsi"/>
          <w:lang w:eastAsia="fr-FR"/>
        </w:rPr>
        <w:t xml:space="preserve">de </w:t>
      </w:r>
      <w:r w:rsidRPr="008004C5">
        <w:rPr>
          <w:rFonts w:ascii="Century Gothic" w:eastAsia="Times New Roman" w:hAnsi="Century Gothic" w:cstheme="minorHAnsi"/>
          <w:lang w:eastAsia="fr-FR"/>
        </w:rPr>
        <w:t xml:space="preserve">Consommation du </w:t>
      </w:r>
      <w:r w:rsidR="000456A0">
        <w:rPr>
          <w:rFonts w:ascii="Century Gothic" w:eastAsia="Times New Roman" w:hAnsi="Century Gothic" w:cstheme="minorHAnsi"/>
          <w:lang w:eastAsia="fr-FR"/>
        </w:rPr>
        <w:br/>
      </w:r>
      <w:r w:rsidRPr="008004C5">
        <w:rPr>
          <w:rFonts w:ascii="Century Gothic" w:eastAsia="Times New Roman" w:hAnsi="Century Gothic" w:cstheme="minorHAnsi"/>
          <w:lang w:eastAsia="fr-FR"/>
        </w:rPr>
        <w:t>17 mars 2014, selon le calendrier suivant</w:t>
      </w:r>
      <w:r w:rsidRPr="008004C5">
        <w:rPr>
          <w:rFonts w:ascii="Century Gothic" w:hAnsi="Century Gothic"/>
        </w:rPr>
        <w:t>:</w:t>
      </w:r>
    </w:p>
    <w:p w:rsidR="00535629" w:rsidRPr="008004C5" w:rsidRDefault="00535629" w:rsidP="00BC2883">
      <w:pPr>
        <w:pStyle w:val="Paragraphedeliste"/>
        <w:numPr>
          <w:ilvl w:val="0"/>
          <w:numId w:val="1"/>
        </w:numPr>
        <w:jc w:val="both"/>
        <w:rPr>
          <w:rFonts w:ascii="Century Gothic" w:hAnsi="Century Gothic"/>
          <w:lang w:val="fr-FR"/>
        </w:rPr>
      </w:pPr>
      <w:r w:rsidRPr="008004C5">
        <w:rPr>
          <w:rFonts w:ascii="Century Gothic" w:hAnsi="Century Gothic"/>
          <w:lang w:val="fr-FR"/>
        </w:rPr>
        <w:t xml:space="preserve">Suppression des TRV pour tous les consommateurs dont la consommation annuelle est égale ou supérieure à 200 MWH (mégawattheures) le </w:t>
      </w:r>
      <w:r w:rsidR="000456A0">
        <w:rPr>
          <w:rFonts w:ascii="Century Gothic" w:hAnsi="Century Gothic"/>
          <w:lang w:val="fr-FR"/>
        </w:rPr>
        <w:br/>
      </w:r>
      <w:r w:rsidRPr="008004C5">
        <w:rPr>
          <w:rFonts w:ascii="Century Gothic" w:hAnsi="Century Gothic"/>
          <w:lang w:val="fr-FR"/>
        </w:rPr>
        <w:t>31 décembre 2014,</w:t>
      </w:r>
    </w:p>
    <w:p w:rsidR="00535629" w:rsidRPr="008004C5" w:rsidRDefault="00535629" w:rsidP="00BC2883">
      <w:pPr>
        <w:pStyle w:val="Paragraphedeliste"/>
        <w:numPr>
          <w:ilvl w:val="0"/>
          <w:numId w:val="1"/>
        </w:numPr>
        <w:jc w:val="both"/>
        <w:rPr>
          <w:rFonts w:ascii="Century Gothic" w:hAnsi="Century Gothic"/>
          <w:lang w:val="fr-FR"/>
        </w:rPr>
      </w:pPr>
      <w:r w:rsidRPr="008004C5">
        <w:rPr>
          <w:rFonts w:ascii="Century Gothic" w:hAnsi="Century Gothic"/>
          <w:lang w:val="fr-FR"/>
        </w:rPr>
        <w:t>Suppression des TRV pour les copropriétés dont le niveau de consommation est supérieur</w:t>
      </w:r>
      <w:r w:rsidR="00EA56AE">
        <w:rPr>
          <w:rFonts w:ascii="Century Gothic" w:hAnsi="Century Gothic"/>
          <w:lang w:val="fr-FR"/>
        </w:rPr>
        <w:t>e</w:t>
      </w:r>
      <w:r w:rsidR="000456A0">
        <w:rPr>
          <w:rFonts w:ascii="Century Gothic" w:hAnsi="Century Gothic"/>
          <w:lang w:val="fr-FR"/>
        </w:rPr>
        <w:t xml:space="preserve"> à 150 </w:t>
      </w:r>
      <w:proofErr w:type="spellStart"/>
      <w:r w:rsidR="000456A0">
        <w:rPr>
          <w:rFonts w:ascii="Century Gothic" w:hAnsi="Century Gothic"/>
          <w:lang w:val="fr-FR"/>
        </w:rPr>
        <w:t>MWh</w:t>
      </w:r>
      <w:proofErr w:type="spellEnd"/>
      <w:r w:rsidR="000456A0">
        <w:rPr>
          <w:rFonts w:ascii="Century Gothic" w:hAnsi="Century Gothic"/>
          <w:lang w:val="fr-FR"/>
        </w:rPr>
        <w:t xml:space="preserve"> le 31 décembre 2015,</w:t>
      </w:r>
    </w:p>
    <w:p w:rsidR="00535629" w:rsidRPr="008004C5" w:rsidRDefault="00535629" w:rsidP="00BC2883">
      <w:pPr>
        <w:pStyle w:val="Paragraphedeliste"/>
        <w:numPr>
          <w:ilvl w:val="0"/>
          <w:numId w:val="1"/>
        </w:numPr>
        <w:jc w:val="both"/>
        <w:rPr>
          <w:rFonts w:ascii="Century Gothic" w:hAnsi="Century Gothic"/>
          <w:lang w:val="fr-FR"/>
        </w:rPr>
      </w:pPr>
      <w:r w:rsidRPr="008004C5">
        <w:rPr>
          <w:rFonts w:ascii="Century Gothic" w:hAnsi="Century Gothic"/>
          <w:lang w:val="fr-FR"/>
        </w:rPr>
        <w:t xml:space="preserve">Suppression des TRV pour tous les consommateurs, à l’exception des copropriétés, dont la consommation annuelle est égale ou supérieure à </w:t>
      </w:r>
      <w:r w:rsidR="000456A0">
        <w:rPr>
          <w:rFonts w:ascii="Century Gothic" w:hAnsi="Century Gothic"/>
          <w:lang w:val="fr-FR"/>
        </w:rPr>
        <w:br/>
      </w:r>
      <w:r w:rsidRPr="008004C5">
        <w:rPr>
          <w:rFonts w:ascii="Century Gothic" w:hAnsi="Century Gothic"/>
          <w:lang w:val="fr-FR"/>
        </w:rPr>
        <w:t>30 MWH (mégawattheures) le 31 décembre 2015.</w:t>
      </w:r>
    </w:p>
    <w:p w:rsidR="00535629" w:rsidRDefault="00F54FAE" w:rsidP="00BC2883">
      <w:pPr>
        <w:spacing w:after="0" w:line="240" w:lineRule="auto"/>
        <w:contextualSpacing/>
        <w:jc w:val="both"/>
        <w:rPr>
          <w:rFonts w:ascii="Century Gothic" w:hAnsi="Century Gothic"/>
        </w:rPr>
      </w:pPr>
      <w:r>
        <w:rPr>
          <w:rFonts w:ascii="Century Gothic" w:hAnsi="Century Gothic" w:cs="Times New Roman"/>
        </w:rPr>
        <w:t xml:space="preserve">Depuis le </w:t>
      </w:r>
      <w:r w:rsidR="00535629" w:rsidRPr="008004C5">
        <w:rPr>
          <w:rFonts w:ascii="Century Gothic" w:hAnsi="Century Gothic" w:cs="Times New Roman"/>
        </w:rPr>
        <w:t>1</w:t>
      </w:r>
      <w:r w:rsidR="00535629" w:rsidRPr="008004C5">
        <w:rPr>
          <w:rFonts w:ascii="Century Gothic" w:hAnsi="Century Gothic" w:cs="Times New Roman"/>
          <w:vertAlign w:val="superscript"/>
        </w:rPr>
        <w:t>er</w:t>
      </w:r>
      <w:r>
        <w:rPr>
          <w:rFonts w:ascii="Century Gothic" w:hAnsi="Century Gothic" w:cs="Times New Roman"/>
        </w:rPr>
        <w:t xml:space="preserve"> janvier 2015 et le</w:t>
      </w:r>
      <w:r w:rsidR="00535629" w:rsidRPr="008004C5">
        <w:rPr>
          <w:rFonts w:ascii="Century Gothic" w:hAnsi="Century Gothic" w:cs="Times New Roman"/>
        </w:rPr>
        <w:t xml:space="preserve"> 1</w:t>
      </w:r>
      <w:r w:rsidR="00535629" w:rsidRPr="008004C5">
        <w:rPr>
          <w:rFonts w:ascii="Century Gothic" w:hAnsi="Century Gothic" w:cs="Times New Roman"/>
          <w:vertAlign w:val="superscript"/>
        </w:rPr>
        <w:t>er</w:t>
      </w:r>
      <w:r w:rsidR="00535629" w:rsidRPr="008004C5">
        <w:rPr>
          <w:rFonts w:ascii="Century Gothic" w:hAnsi="Century Gothic" w:cs="Times New Roman"/>
        </w:rPr>
        <w:t xml:space="preserve"> janvier 2016, les acheteurs </w:t>
      </w:r>
      <w:r w:rsidR="00535629" w:rsidRPr="008004C5">
        <w:rPr>
          <w:rStyle w:val="lev"/>
          <w:rFonts w:ascii="Century Gothic" w:hAnsi="Century Gothic"/>
        </w:rPr>
        <w:t>soumis au code des marchés publics ou à une procédure obligatoire de mise en concurrence</w:t>
      </w:r>
      <w:r w:rsidR="00535629" w:rsidRPr="008004C5">
        <w:rPr>
          <w:rFonts w:ascii="Century Gothic" w:hAnsi="Century Gothic"/>
        </w:rPr>
        <w:t xml:space="preserve">, </w:t>
      </w:r>
      <w:r w:rsidR="00987080" w:rsidRPr="008004C5">
        <w:rPr>
          <w:rFonts w:ascii="Century Gothic" w:hAnsi="Century Gothic" w:cs="HelveticaNeueLT Std"/>
          <w:color w:val="000000"/>
        </w:rPr>
        <w:t>notamment les Collectivités T</w:t>
      </w:r>
      <w:r w:rsidR="00535629" w:rsidRPr="008004C5">
        <w:rPr>
          <w:rFonts w:ascii="Century Gothic" w:hAnsi="Century Gothic" w:cs="HelveticaNeueLT Std"/>
          <w:color w:val="000000"/>
        </w:rPr>
        <w:t xml:space="preserve">erritoriales et les établissements publics, </w:t>
      </w:r>
      <w:r>
        <w:rPr>
          <w:rFonts w:ascii="Century Gothic" w:hAnsi="Century Gothic" w:cs="HelveticaNeueLT Std"/>
          <w:color w:val="000000"/>
        </w:rPr>
        <w:t>ont</w:t>
      </w:r>
      <w:r w:rsidR="00535629" w:rsidRPr="008004C5">
        <w:rPr>
          <w:rFonts w:ascii="Century Gothic" w:hAnsi="Century Gothic"/>
        </w:rPr>
        <w:t xml:space="preserve"> signé un nouveau contrat en offre de marché avec un fournisseur de leur choix. </w:t>
      </w:r>
    </w:p>
    <w:p w:rsidR="00F54FAE" w:rsidRPr="008004C5" w:rsidRDefault="00F54FAE" w:rsidP="00BC2883">
      <w:pPr>
        <w:spacing w:after="0" w:line="240" w:lineRule="auto"/>
        <w:contextualSpacing/>
        <w:jc w:val="both"/>
        <w:rPr>
          <w:rFonts w:ascii="Century Gothic" w:hAnsi="Century Gothic"/>
        </w:rPr>
      </w:pPr>
    </w:p>
    <w:p w:rsidR="00535629" w:rsidRPr="008004C5" w:rsidRDefault="00F54FAE" w:rsidP="00BC2883">
      <w:pPr>
        <w:pStyle w:val="Pa4"/>
        <w:spacing w:after="140"/>
        <w:jc w:val="both"/>
        <w:rPr>
          <w:rFonts w:ascii="Century Gothic" w:hAnsi="Century Gothic" w:cs="HelveticaNeueLT Std"/>
          <w:color w:val="000000"/>
          <w:sz w:val="22"/>
          <w:szCs w:val="22"/>
        </w:rPr>
      </w:pPr>
      <w:r>
        <w:rPr>
          <w:rFonts w:ascii="Century Gothic" w:hAnsi="Century Gothic" w:cs="HelveticaNeueLT Std"/>
          <w:color w:val="000000"/>
          <w:sz w:val="22"/>
          <w:szCs w:val="22"/>
        </w:rPr>
        <w:t>L</w:t>
      </w:r>
      <w:r w:rsidR="00535629" w:rsidRPr="008004C5">
        <w:rPr>
          <w:rFonts w:ascii="Century Gothic" w:hAnsi="Century Gothic" w:cs="HelveticaNeueLT Std"/>
          <w:color w:val="000000"/>
          <w:sz w:val="22"/>
          <w:szCs w:val="22"/>
        </w:rPr>
        <w:t>e regroupement des pouvoirs adjudicateurs et entités adjudicatrices, acheteuses de gaz naturel</w:t>
      </w:r>
      <w:r>
        <w:rPr>
          <w:rFonts w:ascii="Century Gothic" w:hAnsi="Century Gothic" w:cs="HelveticaNeueLT Std"/>
          <w:color w:val="000000"/>
          <w:sz w:val="22"/>
          <w:szCs w:val="22"/>
        </w:rPr>
        <w:t>, de fournitures et de services</w:t>
      </w:r>
      <w:r w:rsidR="00535629" w:rsidRPr="008004C5">
        <w:rPr>
          <w:rFonts w:ascii="Century Gothic" w:hAnsi="Century Gothic" w:cs="HelveticaNeueLT Std"/>
          <w:color w:val="000000"/>
          <w:sz w:val="22"/>
          <w:szCs w:val="22"/>
        </w:rPr>
        <w:t>, est un outil qui, non seulement, leur permet d’effectuer plus efficacement les opérations de mise en concurrence mais, également, assure une maîtrise de leur consommation d’énergie et renforce la protection de l’environnement dans le respect du développement durable.</w:t>
      </w:r>
    </w:p>
    <w:p w:rsidR="00535629" w:rsidRPr="008004C5" w:rsidRDefault="00535629" w:rsidP="00BC2883">
      <w:pPr>
        <w:spacing w:after="0" w:line="240" w:lineRule="auto"/>
        <w:contextualSpacing/>
        <w:jc w:val="both"/>
        <w:rPr>
          <w:rFonts w:ascii="Century Gothic" w:hAnsi="Century Gothic"/>
        </w:rPr>
      </w:pPr>
      <w:r w:rsidRPr="008004C5">
        <w:rPr>
          <w:rFonts w:ascii="Century Gothic" w:hAnsi="Century Gothic"/>
        </w:rPr>
        <w:t xml:space="preserve">Dans ce contexte, le Syndicat Intercommunal d’Énergies de la Marne (SIEM) </w:t>
      </w:r>
      <w:r w:rsidR="00987080" w:rsidRPr="008004C5">
        <w:rPr>
          <w:rFonts w:ascii="Century Gothic" w:hAnsi="Century Gothic"/>
        </w:rPr>
        <w:t>a créé par sa délibération n°</w:t>
      </w:r>
      <w:r w:rsidR="00F20D6E">
        <w:rPr>
          <w:rFonts w:ascii="Century Gothic" w:hAnsi="Century Gothic"/>
        </w:rPr>
        <w:t xml:space="preserve"> 82-14</w:t>
      </w:r>
      <w:r w:rsidR="00987080" w:rsidRPr="008004C5">
        <w:rPr>
          <w:rFonts w:ascii="Century Gothic" w:hAnsi="Century Gothic"/>
        </w:rPr>
        <w:t xml:space="preserve"> du 23 juin 2014, </w:t>
      </w:r>
      <w:r w:rsidRPr="008004C5">
        <w:rPr>
          <w:rFonts w:ascii="Century Gothic" w:hAnsi="Century Gothic"/>
        </w:rPr>
        <w:t xml:space="preserve">suivant l’article </w:t>
      </w:r>
      <w:r w:rsidR="006C0FCE">
        <w:rPr>
          <w:rFonts w:ascii="Century Gothic" w:hAnsi="Century Gothic"/>
        </w:rPr>
        <w:t>2</w:t>
      </w:r>
      <w:r w:rsidRPr="008004C5">
        <w:rPr>
          <w:rFonts w:ascii="Century Gothic" w:hAnsi="Century Gothic"/>
        </w:rPr>
        <w:t xml:space="preserve">8 du Code des Marchés Publics, un groupement de commandes d’achat de gaz naturel afin de permettre aux </w:t>
      </w:r>
      <w:r w:rsidRPr="008004C5">
        <w:rPr>
          <w:rFonts w:ascii="Century Gothic" w:hAnsi="Century Gothic" w:cs="Times New Roman"/>
        </w:rPr>
        <w:t xml:space="preserve">acheteurs </w:t>
      </w:r>
      <w:r w:rsidRPr="008004C5">
        <w:rPr>
          <w:rStyle w:val="lev"/>
          <w:rFonts w:ascii="Century Gothic" w:hAnsi="Century Gothic"/>
        </w:rPr>
        <w:t xml:space="preserve">soumis aux dispositions précitées de se mettre en conformité avec la loi, tout en optimisant la procédure de mise en concurrence. </w:t>
      </w:r>
    </w:p>
    <w:p w:rsidR="00BC2883" w:rsidRPr="008004C5" w:rsidRDefault="00BC2883" w:rsidP="00BC2883">
      <w:pPr>
        <w:jc w:val="both"/>
        <w:rPr>
          <w:rFonts w:ascii="Century Gothic" w:hAnsi="Century Gothic"/>
        </w:rPr>
      </w:pPr>
    </w:p>
    <w:p w:rsidR="00535629" w:rsidRPr="008004C5" w:rsidRDefault="00535629" w:rsidP="00BC2883">
      <w:pPr>
        <w:jc w:val="both"/>
        <w:rPr>
          <w:rFonts w:ascii="Century Gothic" w:hAnsi="Century Gothic"/>
        </w:rPr>
      </w:pPr>
      <w:r w:rsidRPr="008004C5">
        <w:rPr>
          <w:rFonts w:ascii="Century Gothic" w:hAnsi="Century Gothic"/>
        </w:rPr>
        <w:t xml:space="preserve">Tout acheteur public peut être membre du groupement de commandes du SIEM sans obligatoirement y être adhérent. </w:t>
      </w:r>
    </w:p>
    <w:p w:rsidR="00535629" w:rsidRPr="008004C5" w:rsidRDefault="00535629" w:rsidP="00BC2883">
      <w:pPr>
        <w:jc w:val="both"/>
        <w:rPr>
          <w:rFonts w:ascii="Century Gothic" w:hAnsi="Century Gothic"/>
        </w:rPr>
      </w:pPr>
      <w:r w:rsidRPr="008004C5">
        <w:rPr>
          <w:rFonts w:ascii="Century Gothic" w:hAnsi="Century Gothic"/>
        </w:rPr>
        <w:t xml:space="preserve">La constitution du groupement </w:t>
      </w:r>
      <w:r w:rsidR="00BC2883" w:rsidRPr="008004C5">
        <w:rPr>
          <w:rFonts w:ascii="Century Gothic" w:hAnsi="Century Gothic"/>
        </w:rPr>
        <w:t xml:space="preserve">et son fonctionnement </w:t>
      </w:r>
      <w:r w:rsidR="00987080" w:rsidRPr="008004C5">
        <w:rPr>
          <w:rFonts w:ascii="Century Gothic" w:hAnsi="Century Gothic"/>
        </w:rPr>
        <w:t>est</w:t>
      </w:r>
      <w:r w:rsidR="00BC2883" w:rsidRPr="008004C5">
        <w:rPr>
          <w:rFonts w:ascii="Century Gothic" w:hAnsi="Century Gothic"/>
        </w:rPr>
        <w:t xml:space="preserve"> formalisé par une convention </w:t>
      </w:r>
      <w:r w:rsidR="00CA72E6" w:rsidRPr="008004C5">
        <w:rPr>
          <w:rFonts w:ascii="Century Gothic" w:hAnsi="Century Gothic"/>
        </w:rPr>
        <w:t xml:space="preserve">qui sera conclue pour une </w:t>
      </w:r>
      <w:r w:rsidR="00D55653">
        <w:rPr>
          <w:rFonts w:ascii="Century Gothic" w:hAnsi="Century Gothic"/>
        </w:rPr>
        <w:t>d</w:t>
      </w:r>
      <w:r w:rsidR="00D55653" w:rsidRPr="00DD1B6A">
        <w:rPr>
          <w:rFonts w:ascii="Century Gothic" w:eastAsia="Arial" w:hAnsi="Century Gothic" w:cs="Times New Roman"/>
        </w:rPr>
        <w:t xml:space="preserve">urée allant jusqu'au terme des missions </w:t>
      </w:r>
      <w:r w:rsidR="00D55653" w:rsidRPr="00DD1B6A">
        <w:rPr>
          <w:rFonts w:ascii="Century Gothic" w:eastAsia="Arial" w:hAnsi="Century Gothic" w:cs="Times New Roman"/>
        </w:rPr>
        <w:lastRenderedPageBreak/>
        <w:t>confiées au coordonnateur</w:t>
      </w:r>
      <w:r w:rsidRPr="008004C5">
        <w:rPr>
          <w:rFonts w:ascii="Century Gothic" w:hAnsi="Century Gothic"/>
        </w:rPr>
        <w:t>.</w:t>
      </w:r>
      <w:r w:rsidR="00132588">
        <w:rPr>
          <w:rFonts w:ascii="Century Gothic" w:hAnsi="Century Gothic"/>
        </w:rPr>
        <w:t xml:space="preserve"> L</w:t>
      </w:r>
      <w:r w:rsidR="00F54FAE">
        <w:rPr>
          <w:rFonts w:ascii="Century Gothic" w:hAnsi="Century Gothic"/>
        </w:rPr>
        <w:t xml:space="preserve">e nouvel adhérent </w:t>
      </w:r>
      <w:r w:rsidR="00132588">
        <w:rPr>
          <w:rFonts w:ascii="Century Gothic" w:hAnsi="Century Gothic"/>
        </w:rPr>
        <w:t xml:space="preserve">fera l’objet d’un avenant à cette convention. </w:t>
      </w:r>
    </w:p>
    <w:p w:rsidR="00BC2883" w:rsidRPr="008004C5" w:rsidRDefault="00987080" w:rsidP="00BC2883">
      <w:pPr>
        <w:jc w:val="both"/>
        <w:rPr>
          <w:rFonts w:ascii="Century Gothic" w:hAnsi="Century Gothic"/>
        </w:rPr>
      </w:pPr>
      <w:r w:rsidRPr="008004C5">
        <w:rPr>
          <w:rFonts w:ascii="Century Gothic" w:hAnsi="Century Gothic"/>
        </w:rPr>
        <w:t>Le SIEM assure</w:t>
      </w:r>
      <w:r w:rsidR="00BC2883" w:rsidRPr="008004C5">
        <w:rPr>
          <w:rFonts w:ascii="Century Gothic" w:hAnsi="Century Gothic"/>
        </w:rPr>
        <w:t xml:space="preserve"> les fonctions de coordina</w:t>
      </w:r>
      <w:r w:rsidRPr="008004C5">
        <w:rPr>
          <w:rFonts w:ascii="Century Gothic" w:hAnsi="Century Gothic"/>
        </w:rPr>
        <w:t>teur du groupement. Il procède</w:t>
      </w:r>
      <w:r w:rsidR="00BC2883" w:rsidRPr="008004C5">
        <w:rPr>
          <w:rFonts w:ascii="Century Gothic" w:hAnsi="Century Gothic"/>
        </w:rPr>
        <w:t xml:space="preserve"> à l’ensemble des opérations de mise en concurrence et de sélection. </w:t>
      </w:r>
      <w:r w:rsidR="006C0FCE">
        <w:rPr>
          <w:rFonts w:ascii="Century Gothic" w:hAnsi="Century Gothic"/>
        </w:rPr>
        <w:t>I</w:t>
      </w:r>
      <w:bookmarkStart w:id="0" w:name="_GoBack"/>
      <w:bookmarkEnd w:id="0"/>
      <w:r w:rsidRPr="008004C5">
        <w:rPr>
          <w:rFonts w:ascii="Century Gothic" w:hAnsi="Century Gothic"/>
        </w:rPr>
        <w:t>l est</w:t>
      </w:r>
      <w:r w:rsidR="00BC2883" w:rsidRPr="008004C5">
        <w:rPr>
          <w:rFonts w:ascii="Century Gothic" w:hAnsi="Century Gothic"/>
        </w:rPr>
        <w:t xml:space="preserve"> chargé de signer et de notifier le marché.</w:t>
      </w:r>
    </w:p>
    <w:p w:rsidR="00BC2883" w:rsidRPr="008004C5" w:rsidRDefault="00BC2883" w:rsidP="00BC2883">
      <w:pPr>
        <w:jc w:val="both"/>
        <w:rPr>
          <w:rFonts w:ascii="Century Gothic" w:hAnsi="Century Gothic"/>
        </w:rPr>
      </w:pPr>
      <w:r w:rsidRPr="008004C5">
        <w:rPr>
          <w:rFonts w:ascii="Century Gothic" w:hAnsi="Century Gothic"/>
        </w:rPr>
        <w:t>Chaque membre s’assurera</w:t>
      </w:r>
      <w:r w:rsidR="00EC1A88" w:rsidRPr="008004C5">
        <w:rPr>
          <w:rFonts w:ascii="Century Gothic" w:hAnsi="Century Gothic"/>
        </w:rPr>
        <w:t>,</w:t>
      </w:r>
      <w:r w:rsidRPr="008004C5">
        <w:rPr>
          <w:rFonts w:ascii="Century Gothic" w:hAnsi="Century Gothic"/>
        </w:rPr>
        <w:t xml:space="preserve"> par la suite</w:t>
      </w:r>
      <w:r w:rsidR="00987080" w:rsidRPr="008004C5">
        <w:rPr>
          <w:rFonts w:ascii="Century Gothic" w:hAnsi="Century Gothic"/>
        </w:rPr>
        <w:t>,</w:t>
      </w:r>
      <w:r w:rsidR="00EC1A88" w:rsidRPr="008004C5">
        <w:rPr>
          <w:rFonts w:ascii="Century Gothic" w:hAnsi="Century Gothic"/>
        </w:rPr>
        <w:t xml:space="preserve"> pour ce qui le concerne, de la bonne exécution du marché.</w:t>
      </w:r>
    </w:p>
    <w:p w:rsidR="00987080" w:rsidRPr="008004C5" w:rsidRDefault="00987080" w:rsidP="00BC2883">
      <w:pPr>
        <w:jc w:val="both"/>
        <w:rPr>
          <w:rFonts w:ascii="Century Gothic" w:hAnsi="Century Gothic"/>
        </w:rPr>
      </w:pPr>
      <w:r w:rsidRPr="008004C5">
        <w:rPr>
          <w:rFonts w:ascii="Century Gothic" w:hAnsi="Century Gothic"/>
        </w:rPr>
        <w:t>La Commission d’Appel d’Offres (CAO) du Groupement de Commande est celle du Syndicat Intercommunal d’Énergies de la Marne, coordonnateur du Groupement.</w:t>
      </w:r>
    </w:p>
    <w:p w:rsidR="00987080" w:rsidRPr="008004C5" w:rsidRDefault="00987080" w:rsidP="00BC2883">
      <w:pPr>
        <w:jc w:val="both"/>
        <w:rPr>
          <w:rFonts w:ascii="Century Gothic" w:hAnsi="Century Gothic"/>
          <w:b/>
        </w:rPr>
      </w:pPr>
    </w:p>
    <w:p w:rsidR="00EC1A88" w:rsidRPr="008004C5" w:rsidRDefault="00987080" w:rsidP="00BC2883">
      <w:pPr>
        <w:jc w:val="both"/>
        <w:rPr>
          <w:rFonts w:ascii="Century Gothic" w:hAnsi="Century Gothic"/>
          <w:b/>
        </w:rPr>
      </w:pPr>
      <w:r w:rsidRPr="008004C5">
        <w:rPr>
          <w:rFonts w:ascii="Century Gothic" w:hAnsi="Century Gothic"/>
          <w:b/>
        </w:rPr>
        <w:t>En conséquence, a</w:t>
      </w:r>
      <w:r w:rsidR="00EC1A88" w:rsidRPr="008004C5">
        <w:rPr>
          <w:rFonts w:ascii="Century Gothic" w:hAnsi="Century Gothic"/>
          <w:b/>
        </w:rPr>
        <w:t xml:space="preserve">près avoir délibéré, le </w:t>
      </w:r>
      <w:r w:rsidR="00EC1A88" w:rsidRPr="008004C5">
        <w:rPr>
          <w:rFonts w:ascii="Century Gothic" w:hAnsi="Century Gothic"/>
          <w:b/>
          <w:highlight w:val="lightGray"/>
        </w:rPr>
        <w:t>C</w:t>
      </w:r>
      <w:r w:rsidRPr="008004C5">
        <w:rPr>
          <w:rFonts w:ascii="Century Gothic" w:hAnsi="Century Gothic"/>
          <w:b/>
          <w:highlight w:val="lightGray"/>
        </w:rPr>
        <w:t>onseil Municipal / Communautaire</w:t>
      </w:r>
      <w:r w:rsidR="00EC1A88" w:rsidRPr="008004C5">
        <w:rPr>
          <w:rFonts w:ascii="Century Gothic" w:hAnsi="Century Gothic"/>
          <w:b/>
        </w:rPr>
        <w:t>, à l’unanimité de ces membres :</w:t>
      </w:r>
    </w:p>
    <w:p w:rsidR="00EC1A88" w:rsidRPr="008004C5" w:rsidRDefault="00EC1A88" w:rsidP="00BC2883">
      <w:pPr>
        <w:jc w:val="both"/>
        <w:rPr>
          <w:rFonts w:ascii="Century Gothic" w:hAnsi="Century Gothic"/>
        </w:rPr>
      </w:pPr>
    </w:p>
    <w:p w:rsidR="00EC1A88" w:rsidRPr="008004C5" w:rsidRDefault="00EC1A88" w:rsidP="00EC1A88">
      <w:pPr>
        <w:pStyle w:val="Paragraphedeliste"/>
        <w:numPr>
          <w:ilvl w:val="0"/>
          <w:numId w:val="1"/>
        </w:numPr>
        <w:jc w:val="both"/>
        <w:rPr>
          <w:rFonts w:ascii="Century Gothic" w:hAnsi="Century Gothic"/>
          <w:lang w:val="fr-FR"/>
        </w:rPr>
      </w:pPr>
      <w:r w:rsidRPr="008004C5">
        <w:rPr>
          <w:rFonts w:ascii="Century Gothic" w:hAnsi="Century Gothic"/>
          <w:lang w:val="fr-FR"/>
        </w:rPr>
        <w:t xml:space="preserve">Accepte les termes de la Convention Constitutive </w:t>
      </w:r>
      <w:r w:rsidR="00132588">
        <w:rPr>
          <w:rFonts w:ascii="Century Gothic" w:hAnsi="Century Gothic"/>
          <w:lang w:val="fr-FR"/>
        </w:rPr>
        <w:t xml:space="preserve">Initiale </w:t>
      </w:r>
      <w:r w:rsidRPr="008004C5">
        <w:rPr>
          <w:rFonts w:ascii="Century Gothic" w:hAnsi="Century Gothic"/>
          <w:lang w:val="fr-FR"/>
        </w:rPr>
        <w:t>du Groupement</w:t>
      </w:r>
      <w:r w:rsidR="00987080" w:rsidRPr="008004C5">
        <w:rPr>
          <w:rFonts w:ascii="Century Gothic" w:hAnsi="Century Gothic"/>
          <w:lang w:val="fr-FR"/>
        </w:rPr>
        <w:t>, annexée à la présente délibération</w:t>
      </w:r>
      <w:r w:rsidRPr="008004C5">
        <w:rPr>
          <w:rFonts w:ascii="Century Gothic" w:hAnsi="Century Gothic"/>
          <w:lang w:val="fr-FR"/>
        </w:rPr>
        <w:t> ;</w:t>
      </w:r>
    </w:p>
    <w:p w:rsidR="00EC1A88" w:rsidRPr="008004C5" w:rsidRDefault="00EC1A88" w:rsidP="00EC1A88">
      <w:pPr>
        <w:pStyle w:val="Paragraphedeliste"/>
        <w:numPr>
          <w:ilvl w:val="0"/>
          <w:numId w:val="1"/>
        </w:numPr>
        <w:jc w:val="both"/>
        <w:rPr>
          <w:rFonts w:ascii="Century Gothic" w:hAnsi="Century Gothic"/>
          <w:lang w:val="fr-FR"/>
        </w:rPr>
      </w:pPr>
      <w:r w:rsidRPr="008004C5">
        <w:rPr>
          <w:rFonts w:ascii="Century Gothic" w:hAnsi="Century Gothic"/>
          <w:lang w:val="fr-FR"/>
        </w:rPr>
        <w:t>Autorise l’adhésion d</w:t>
      </w:r>
      <w:r w:rsidR="00987080" w:rsidRPr="008004C5">
        <w:rPr>
          <w:rFonts w:ascii="Century Gothic" w:hAnsi="Century Gothic"/>
          <w:lang w:val="fr-FR"/>
        </w:rPr>
        <w:t xml:space="preserve">e la </w:t>
      </w:r>
      <w:r w:rsidR="00987080" w:rsidRPr="008004C5">
        <w:rPr>
          <w:rFonts w:ascii="Century Gothic" w:hAnsi="Century Gothic"/>
          <w:highlight w:val="lightGray"/>
          <w:lang w:val="fr-FR"/>
        </w:rPr>
        <w:t>Commune / Communauté de Communes</w:t>
      </w:r>
      <w:r w:rsidR="00987080" w:rsidRPr="008004C5">
        <w:rPr>
          <w:rFonts w:ascii="Century Gothic" w:hAnsi="Century Gothic"/>
          <w:lang w:val="fr-FR"/>
        </w:rPr>
        <w:t xml:space="preserve"> de </w:t>
      </w:r>
      <w:r w:rsidR="00987080" w:rsidRPr="008004C5">
        <w:rPr>
          <w:rFonts w:ascii="Century Gothic" w:hAnsi="Century Gothic"/>
          <w:highlight w:val="lightGray"/>
          <w:lang w:val="fr-FR"/>
        </w:rPr>
        <w:t>…………………………………</w:t>
      </w:r>
      <w:r w:rsidR="00987080" w:rsidRPr="008004C5">
        <w:rPr>
          <w:rFonts w:ascii="Century Gothic" w:hAnsi="Century Gothic"/>
          <w:lang w:val="fr-FR"/>
        </w:rPr>
        <w:t xml:space="preserve"> au</w:t>
      </w:r>
      <w:r w:rsidRPr="008004C5">
        <w:rPr>
          <w:rFonts w:ascii="Century Gothic" w:hAnsi="Century Gothic"/>
          <w:lang w:val="fr-FR"/>
        </w:rPr>
        <w:t xml:space="preserve"> Groupement de Commandes ;</w:t>
      </w:r>
    </w:p>
    <w:p w:rsidR="00EC1A88" w:rsidRPr="008004C5" w:rsidRDefault="00EC1A88" w:rsidP="00EC1A88">
      <w:pPr>
        <w:pStyle w:val="Paragraphedeliste"/>
        <w:numPr>
          <w:ilvl w:val="0"/>
          <w:numId w:val="1"/>
        </w:numPr>
        <w:jc w:val="both"/>
        <w:rPr>
          <w:rFonts w:ascii="Century Gothic" w:hAnsi="Century Gothic"/>
          <w:lang w:val="fr-FR"/>
        </w:rPr>
      </w:pPr>
      <w:r w:rsidRPr="008004C5">
        <w:rPr>
          <w:rFonts w:ascii="Century Gothic" w:hAnsi="Century Gothic"/>
          <w:lang w:val="fr-FR"/>
        </w:rPr>
        <w:t xml:space="preserve">Autorise </w:t>
      </w:r>
      <w:r w:rsidRPr="008004C5">
        <w:rPr>
          <w:rFonts w:ascii="Century Gothic" w:hAnsi="Century Gothic"/>
          <w:highlight w:val="lightGray"/>
          <w:lang w:val="fr-FR"/>
        </w:rPr>
        <w:t xml:space="preserve">Monsieur le </w:t>
      </w:r>
      <w:r w:rsidR="00987080" w:rsidRPr="008004C5">
        <w:rPr>
          <w:rFonts w:ascii="Century Gothic" w:hAnsi="Century Gothic"/>
          <w:highlight w:val="lightGray"/>
          <w:lang w:val="fr-FR"/>
        </w:rPr>
        <w:t xml:space="preserve">Maire / </w:t>
      </w:r>
      <w:r w:rsidRPr="008004C5">
        <w:rPr>
          <w:rFonts w:ascii="Century Gothic" w:hAnsi="Century Gothic"/>
          <w:highlight w:val="lightGray"/>
          <w:lang w:val="fr-FR"/>
        </w:rPr>
        <w:t>Président</w:t>
      </w:r>
      <w:r w:rsidRPr="008004C5">
        <w:rPr>
          <w:rFonts w:ascii="Century Gothic" w:hAnsi="Century Gothic"/>
          <w:lang w:val="fr-FR"/>
        </w:rPr>
        <w:t xml:space="preserve"> à signer la </w:t>
      </w:r>
      <w:r w:rsidR="00DB4AA2" w:rsidRPr="008004C5">
        <w:rPr>
          <w:rFonts w:ascii="Century Gothic" w:hAnsi="Century Gothic"/>
          <w:lang w:val="fr-FR"/>
        </w:rPr>
        <w:t>c</w:t>
      </w:r>
      <w:r w:rsidRPr="008004C5">
        <w:rPr>
          <w:rFonts w:ascii="Century Gothic" w:hAnsi="Century Gothic"/>
          <w:lang w:val="fr-FR"/>
        </w:rPr>
        <w:t>onvention ;</w:t>
      </w:r>
    </w:p>
    <w:p w:rsidR="00EC1A88" w:rsidRPr="008004C5" w:rsidRDefault="00EC1A88" w:rsidP="00EC1A88">
      <w:pPr>
        <w:pStyle w:val="Paragraphedeliste"/>
        <w:numPr>
          <w:ilvl w:val="0"/>
          <w:numId w:val="1"/>
        </w:numPr>
        <w:jc w:val="both"/>
        <w:rPr>
          <w:rFonts w:ascii="Century Gothic" w:hAnsi="Century Gothic"/>
          <w:lang w:val="fr-FR"/>
        </w:rPr>
      </w:pPr>
      <w:r w:rsidRPr="008004C5">
        <w:rPr>
          <w:rFonts w:ascii="Century Gothic" w:hAnsi="Century Gothic"/>
          <w:lang w:val="fr-FR"/>
        </w:rPr>
        <w:t xml:space="preserve">Autorise Monsieur le Président </w:t>
      </w:r>
      <w:r w:rsidR="00987080" w:rsidRPr="008004C5">
        <w:rPr>
          <w:rFonts w:ascii="Century Gothic" w:hAnsi="Century Gothic"/>
          <w:lang w:val="fr-FR"/>
        </w:rPr>
        <w:t xml:space="preserve">du SIEM, représentant du coordonnateur du Groupement, </w:t>
      </w:r>
      <w:r w:rsidRPr="008004C5">
        <w:rPr>
          <w:rFonts w:ascii="Century Gothic" w:hAnsi="Century Gothic"/>
          <w:lang w:val="fr-FR"/>
        </w:rPr>
        <w:t>à signer les marchés, accords-cadres et marchés subséquents issus du Groupement de Commandes et ce sans distinction de procédures ou de montants lorsque les dépenses sont inscrites au budget.</w:t>
      </w:r>
    </w:p>
    <w:sectPr w:rsidR="00EC1A88" w:rsidRPr="008004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C4DE2"/>
    <w:multiLevelType w:val="hybridMultilevel"/>
    <w:tmpl w:val="0FDA62C2"/>
    <w:lvl w:ilvl="0" w:tplc="0422C5B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629"/>
    <w:rsid w:val="000456A0"/>
    <w:rsid w:val="00132588"/>
    <w:rsid w:val="0030228F"/>
    <w:rsid w:val="00455E36"/>
    <w:rsid w:val="004F5D4A"/>
    <w:rsid w:val="00535629"/>
    <w:rsid w:val="006C0FCE"/>
    <w:rsid w:val="008004C5"/>
    <w:rsid w:val="00901F03"/>
    <w:rsid w:val="00987080"/>
    <w:rsid w:val="00BC2883"/>
    <w:rsid w:val="00C4449E"/>
    <w:rsid w:val="00CA72E6"/>
    <w:rsid w:val="00D55653"/>
    <w:rsid w:val="00DB4AA2"/>
    <w:rsid w:val="00EA56AE"/>
    <w:rsid w:val="00EC1A88"/>
    <w:rsid w:val="00F20D6E"/>
    <w:rsid w:val="00F54F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6A7BF"/>
  <w15:chartTrackingRefBased/>
  <w15:docId w15:val="{EBF47B43-93AE-426A-B20F-F3A69519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35629"/>
    <w:pPr>
      <w:widowControl w:val="0"/>
      <w:spacing w:after="200" w:line="276" w:lineRule="auto"/>
      <w:ind w:left="720"/>
      <w:contextualSpacing/>
    </w:pPr>
    <w:rPr>
      <w:lang w:val="en-US"/>
    </w:rPr>
  </w:style>
  <w:style w:type="character" w:styleId="lev">
    <w:name w:val="Strong"/>
    <w:basedOn w:val="Policepardfaut"/>
    <w:uiPriority w:val="22"/>
    <w:qFormat/>
    <w:rsid w:val="00535629"/>
    <w:rPr>
      <w:b/>
      <w:bCs/>
    </w:rPr>
  </w:style>
  <w:style w:type="paragraph" w:customStyle="1" w:styleId="Pa4">
    <w:name w:val="Pa4"/>
    <w:basedOn w:val="Normal"/>
    <w:next w:val="Normal"/>
    <w:uiPriority w:val="99"/>
    <w:rsid w:val="00535629"/>
    <w:pPr>
      <w:autoSpaceDE w:val="0"/>
      <w:autoSpaceDN w:val="0"/>
      <w:adjustRightInd w:val="0"/>
      <w:spacing w:after="0" w:line="201" w:lineRule="atLeast"/>
    </w:pPr>
    <w:rPr>
      <w:rFonts w:ascii="HelveticaNeueLT Std" w:hAnsi="HelveticaNeueLT Std"/>
      <w:sz w:val="24"/>
      <w:szCs w:val="24"/>
    </w:rPr>
  </w:style>
  <w:style w:type="character" w:customStyle="1" w:styleId="A6">
    <w:name w:val="A6"/>
    <w:uiPriority w:val="99"/>
    <w:rsid w:val="00535629"/>
    <w:rPr>
      <w:rFonts w:cs="HelveticaNeueLT Std"/>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579</Words>
  <Characters>3189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Emeline LEGER</dc:creator>
  <cp:keywords/>
  <dc:description/>
  <cp:lastModifiedBy>Emeline LEGER</cp:lastModifiedBy>
  <cp:revision>12</cp:revision>
  <dcterms:created xsi:type="dcterms:W3CDTF">2014-06-25T07:18:00Z</dcterms:created>
  <dcterms:modified xsi:type="dcterms:W3CDTF">2016-06-29T11:53:00Z</dcterms:modified>
</cp:coreProperties>
</file>